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DD9" w:rsidRPr="007B5A53" w:rsidRDefault="00AD7DFC" w:rsidP="00FC7678">
      <w:pPr>
        <w:spacing w:after="0"/>
        <w:jc w:val="center"/>
        <w:rPr>
          <w:b/>
          <w:color w:val="C00000"/>
          <w:sz w:val="32"/>
        </w:rPr>
      </w:pPr>
      <w:r>
        <w:rPr>
          <w:noProof/>
          <w:sz w:val="28"/>
        </w:rPr>
        <w:drawing>
          <wp:anchor distT="0" distB="0" distL="114300" distR="114300" simplePos="0" relativeHeight="251663360" behindDoc="1" locked="0" layoutInCell="1" allowOverlap="1">
            <wp:simplePos x="0" y="0"/>
            <wp:positionH relativeFrom="column">
              <wp:posOffset>66675</wp:posOffset>
            </wp:positionH>
            <wp:positionV relativeFrom="paragraph">
              <wp:posOffset>-85725</wp:posOffset>
            </wp:positionV>
            <wp:extent cx="952500" cy="2057400"/>
            <wp:effectExtent l="0" t="0" r="0" b="0"/>
            <wp:wrapTight wrapText="bothSides">
              <wp:wrapPolygon edited="0">
                <wp:start x="0" y="0"/>
                <wp:lineTo x="0" y="21400"/>
                <wp:lineTo x="21168" y="21400"/>
                <wp:lineTo x="2116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C Logo.jpg"/>
                    <pic:cNvPicPr/>
                  </pic:nvPicPr>
                  <pic:blipFill>
                    <a:blip r:embed="rId8">
                      <a:extLst>
                        <a:ext uri="{28A0092B-C50C-407E-A947-70E740481C1C}">
                          <a14:useLocalDpi xmlns:a14="http://schemas.microsoft.com/office/drawing/2010/main" val="0"/>
                        </a:ext>
                      </a:extLst>
                    </a:blip>
                    <a:stretch>
                      <a:fillRect/>
                    </a:stretch>
                  </pic:blipFill>
                  <pic:spPr>
                    <a:xfrm>
                      <a:off x="0" y="0"/>
                      <a:ext cx="952500" cy="2057400"/>
                    </a:xfrm>
                    <a:prstGeom prst="rect">
                      <a:avLst/>
                    </a:prstGeom>
                  </pic:spPr>
                </pic:pic>
              </a:graphicData>
            </a:graphic>
            <wp14:sizeRelH relativeFrom="page">
              <wp14:pctWidth>0</wp14:pctWidth>
            </wp14:sizeRelH>
            <wp14:sizeRelV relativeFrom="page">
              <wp14:pctHeight>0</wp14:pctHeight>
            </wp14:sizeRelV>
          </wp:anchor>
        </w:drawing>
      </w:r>
      <w:r w:rsidR="00936D36" w:rsidRPr="00175FAB">
        <w:rPr>
          <w:b/>
          <w:color w:val="C00000"/>
          <w:sz w:val="28"/>
        </w:rPr>
        <w:t xml:space="preserve"> </w:t>
      </w:r>
      <w:r w:rsidR="00B3310C" w:rsidRPr="00175FAB">
        <w:rPr>
          <w:b/>
          <w:color w:val="C00000"/>
          <w:sz w:val="28"/>
        </w:rPr>
        <w:t>T</w:t>
      </w:r>
      <w:r w:rsidR="00B3310C" w:rsidRPr="007B5A53">
        <w:rPr>
          <w:b/>
          <w:color w:val="C00000"/>
          <w:sz w:val="32"/>
        </w:rPr>
        <w:t xml:space="preserve">he Washington Center </w:t>
      </w:r>
      <w:r w:rsidR="00936D36" w:rsidRPr="007B5A53">
        <w:rPr>
          <w:b/>
          <w:color w:val="C00000"/>
          <w:sz w:val="32"/>
        </w:rPr>
        <w:t>for Internships</w:t>
      </w:r>
      <w:r w:rsidR="00256E39" w:rsidRPr="007B5A53">
        <w:rPr>
          <w:b/>
          <w:color w:val="C00000"/>
          <w:sz w:val="32"/>
        </w:rPr>
        <w:t xml:space="preserve"> </w:t>
      </w:r>
      <w:r w:rsidR="00256E39" w:rsidRPr="00B10F24">
        <w:rPr>
          <w:b/>
          <w:i/>
          <w:color w:val="C00000"/>
          <w:sz w:val="28"/>
        </w:rPr>
        <w:t>and Kutztown University</w:t>
      </w:r>
      <w:r w:rsidR="00256E39" w:rsidRPr="00B10F24">
        <w:rPr>
          <w:b/>
          <w:color w:val="C00000"/>
          <w:sz w:val="28"/>
        </w:rPr>
        <w:t xml:space="preserve"> </w:t>
      </w:r>
    </w:p>
    <w:p w:rsidR="00D75750" w:rsidRPr="005E2470" w:rsidRDefault="00936D36" w:rsidP="00FC7678">
      <w:pPr>
        <w:spacing w:after="0"/>
        <w:jc w:val="center"/>
        <w:rPr>
          <w:sz w:val="28"/>
        </w:rPr>
      </w:pPr>
      <w:r w:rsidRPr="005E2470">
        <w:rPr>
          <w:sz w:val="28"/>
        </w:rPr>
        <w:t>Internship Opportunit</w:t>
      </w:r>
      <w:r w:rsidR="00AD7DFC">
        <w:rPr>
          <w:sz w:val="28"/>
        </w:rPr>
        <w:t>ies</w:t>
      </w:r>
      <w:r w:rsidRPr="005E2470">
        <w:rPr>
          <w:sz w:val="28"/>
        </w:rPr>
        <w:t>!</w:t>
      </w:r>
    </w:p>
    <w:p w:rsidR="00FC7678" w:rsidRPr="00FC7678" w:rsidRDefault="00FC7678" w:rsidP="009A4DD9">
      <w:pPr>
        <w:rPr>
          <w:sz w:val="2"/>
        </w:rPr>
      </w:pPr>
    </w:p>
    <w:p w:rsidR="00994A12" w:rsidRDefault="00994A12" w:rsidP="009A4DD9">
      <w:r>
        <w:t>Kutztown University is proud to announce a partnership with The Washington Center for the benefit of KU students participating in their nationally-recognized internship program in Washington, D.C.</w:t>
      </w:r>
    </w:p>
    <w:p w:rsidR="007B3EFA" w:rsidRDefault="007B3EFA" w:rsidP="007B3EFA">
      <w:r>
        <w:t xml:space="preserve">To better support students and increase the number of students participating, the university now allocates a portion of the student’s tuition dollars toward the program.  University students are able to participate in The Washington Center 1) at a reduced cost to them and 2) through a streamlined, one-payment process. In the past, participating students were required to pay separately, sending payments to both The Washington Center for their program and housing fees, and to Kutztown University, for its tuition and fees, which was both cumbersome </w:t>
      </w:r>
      <w:r>
        <w:rPr>
          <w:i/>
          <w:iCs/>
          <w:u w:val="single"/>
        </w:rPr>
        <w:t>and</w:t>
      </w:r>
      <w:r>
        <w:t xml:space="preserve"> costly for KU students. </w:t>
      </w:r>
    </w:p>
    <w:p w:rsidR="009A4DD9" w:rsidRPr="00936D36" w:rsidRDefault="009A4DD9" w:rsidP="00FC7678">
      <w:pPr>
        <w:spacing w:after="0"/>
        <w:rPr>
          <w:rFonts w:cstheme="minorHAnsi"/>
          <w:b/>
          <w:i/>
        </w:rPr>
      </w:pPr>
      <w:r w:rsidRPr="00256E39">
        <w:rPr>
          <w:rFonts w:cstheme="minorHAnsi"/>
          <w:b/>
          <w:i/>
          <w:color w:val="C00000"/>
          <w:sz w:val="24"/>
        </w:rPr>
        <w:t>“Tell me more about TWC!”</w:t>
      </w:r>
      <w:r w:rsidR="00412BD8" w:rsidRPr="00256E39">
        <w:rPr>
          <w:rFonts w:cstheme="minorHAnsi"/>
          <w:b/>
          <w:i/>
          <w:color w:val="C00000"/>
          <w:sz w:val="24"/>
        </w:rPr>
        <w:t xml:space="preserve"> </w:t>
      </w:r>
      <w:r w:rsidR="00412BD8" w:rsidRPr="00412BD8">
        <w:rPr>
          <w:rFonts w:cstheme="minorHAnsi"/>
        </w:rPr>
        <w:t>(www.twc.edu)</w:t>
      </w:r>
    </w:p>
    <w:p w:rsidR="009A4DD9" w:rsidRDefault="00936D36" w:rsidP="001C335A">
      <w:pPr>
        <w:pStyle w:val="ListParagraph"/>
        <w:numPr>
          <w:ilvl w:val="0"/>
          <w:numId w:val="5"/>
        </w:numPr>
        <w:spacing w:after="0"/>
        <w:ind w:left="450"/>
        <w:rPr>
          <w:rFonts w:cstheme="minorHAnsi"/>
        </w:rPr>
      </w:pPr>
      <w:r w:rsidRPr="009A4DD9">
        <w:rPr>
          <w:rFonts w:cstheme="minorHAnsi"/>
        </w:rPr>
        <w:t xml:space="preserve">The Washington Center for Internships and Academic Seminars </w:t>
      </w:r>
      <w:r w:rsidR="009A4DD9">
        <w:rPr>
          <w:rFonts w:cstheme="minorHAnsi"/>
        </w:rPr>
        <w:t xml:space="preserve">is an </w:t>
      </w:r>
      <w:r w:rsidR="009A4DD9" w:rsidRPr="009A4DD9">
        <w:rPr>
          <w:rFonts w:cstheme="minorHAnsi"/>
        </w:rPr>
        <w:t>independent, nonprofit organization serving hundreds of colleges and universities by providing selected students</w:t>
      </w:r>
      <w:r w:rsidR="00412BD8">
        <w:rPr>
          <w:rFonts w:cstheme="minorHAnsi"/>
        </w:rPr>
        <w:t>, from all majors,</w:t>
      </w:r>
      <w:r w:rsidR="009A4DD9" w:rsidRPr="009A4DD9">
        <w:rPr>
          <w:rFonts w:cstheme="minorHAnsi"/>
        </w:rPr>
        <w:t xml:space="preserve"> challenging opportunities to work and learn in Washington, D.C.</w:t>
      </w:r>
    </w:p>
    <w:p w:rsidR="00936D36" w:rsidRDefault="00936D36" w:rsidP="001C335A">
      <w:pPr>
        <w:pStyle w:val="ListParagraph"/>
        <w:numPr>
          <w:ilvl w:val="0"/>
          <w:numId w:val="5"/>
        </w:numPr>
        <w:ind w:left="450"/>
        <w:rPr>
          <w:rFonts w:cstheme="minorHAnsi"/>
        </w:rPr>
      </w:pPr>
      <w:r w:rsidRPr="009A4DD9">
        <w:rPr>
          <w:rFonts w:cstheme="minorHAnsi"/>
        </w:rPr>
        <w:t xml:space="preserve">For over </w:t>
      </w:r>
      <w:r w:rsidR="00E35F1F">
        <w:rPr>
          <w:rFonts w:cstheme="minorHAnsi"/>
        </w:rPr>
        <w:t>4</w:t>
      </w:r>
      <w:r w:rsidR="009A1329">
        <w:rPr>
          <w:rFonts w:cstheme="minorHAnsi"/>
        </w:rPr>
        <w:t>5</w:t>
      </w:r>
      <w:r w:rsidRPr="009A4DD9">
        <w:rPr>
          <w:rFonts w:cstheme="minorHAnsi"/>
        </w:rPr>
        <w:t xml:space="preserve"> years,</w:t>
      </w:r>
      <w:r>
        <w:rPr>
          <w:rFonts w:cstheme="minorHAnsi"/>
        </w:rPr>
        <w:t xml:space="preserve"> TWC</w:t>
      </w:r>
      <w:r w:rsidRPr="009A4DD9">
        <w:rPr>
          <w:rFonts w:cstheme="minorHAnsi"/>
        </w:rPr>
        <w:t xml:space="preserve"> has helped more than </w:t>
      </w:r>
      <w:r w:rsidR="009A1329">
        <w:rPr>
          <w:rFonts w:cstheme="minorHAnsi"/>
        </w:rPr>
        <w:t>6</w:t>
      </w:r>
      <w:r w:rsidRPr="009A4DD9">
        <w:rPr>
          <w:rFonts w:cstheme="minorHAnsi"/>
        </w:rPr>
        <w:t>0,000 students from around the world gain valuable experience</w:t>
      </w:r>
    </w:p>
    <w:p w:rsidR="00FC7678" w:rsidRDefault="009A4DD9" w:rsidP="001C335A">
      <w:pPr>
        <w:pStyle w:val="ListParagraph"/>
        <w:numPr>
          <w:ilvl w:val="0"/>
          <w:numId w:val="5"/>
        </w:numPr>
        <w:ind w:left="450"/>
        <w:rPr>
          <w:rFonts w:cstheme="minorHAnsi"/>
        </w:rPr>
      </w:pPr>
      <w:r>
        <w:rPr>
          <w:rFonts w:cstheme="minorHAnsi"/>
        </w:rPr>
        <w:t>TWC is the largest program of its kind with</w:t>
      </w:r>
      <w:r w:rsidRPr="009A4DD9">
        <w:rPr>
          <w:rFonts w:cstheme="minorHAnsi"/>
        </w:rPr>
        <w:t xml:space="preserve"> </w:t>
      </w:r>
      <w:r w:rsidR="00E35F1F">
        <w:rPr>
          <w:rFonts w:cstheme="minorHAnsi"/>
        </w:rPr>
        <w:t>8</w:t>
      </w:r>
      <w:r w:rsidRPr="009A4DD9">
        <w:rPr>
          <w:rFonts w:cstheme="minorHAnsi"/>
        </w:rPr>
        <w:t>0 full-time staff and more than 50,000 alumni, many of whom are in leadership positions in the public, private, and nonprofit sectors.</w:t>
      </w:r>
    </w:p>
    <w:p w:rsidR="009A4DD9" w:rsidRPr="00FC7678" w:rsidRDefault="009A4DD9" w:rsidP="001C335A">
      <w:pPr>
        <w:pStyle w:val="ListParagraph"/>
        <w:numPr>
          <w:ilvl w:val="0"/>
          <w:numId w:val="5"/>
        </w:numPr>
        <w:spacing w:after="0"/>
        <w:ind w:left="450"/>
        <w:rPr>
          <w:rFonts w:cstheme="minorHAnsi"/>
        </w:rPr>
      </w:pPr>
      <w:r w:rsidRPr="00FC7678">
        <w:rPr>
          <w:rFonts w:cstheme="minorHAnsi"/>
        </w:rPr>
        <w:t xml:space="preserve">TWC offers semester- or summer-long integrated academic and work experiences in government, corporate and nonprofit organizations. </w:t>
      </w:r>
      <w:r w:rsidR="00936D36" w:rsidRPr="00FC7678">
        <w:rPr>
          <w:rFonts w:cstheme="minorHAnsi"/>
        </w:rPr>
        <w:t xml:space="preserve">  </w:t>
      </w:r>
      <w:r w:rsidRPr="00FC7678">
        <w:rPr>
          <w:rFonts w:cstheme="minorHAnsi"/>
        </w:rPr>
        <w:t>Each</w:t>
      </w:r>
      <w:r w:rsidR="007B5A53" w:rsidRPr="00FC7678">
        <w:rPr>
          <w:rFonts w:cstheme="minorHAnsi"/>
        </w:rPr>
        <w:t xml:space="preserve"> 12-week</w:t>
      </w:r>
      <w:r w:rsidRPr="00FC7678">
        <w:rPr>
          <w:rFonts w:cstheme="minorHAnsi"/>
        </w:rPr>
        <w:t xml:space="preserve"> internship is tailored to provide meaningful experiences to enhance students’ resumes and help launch their careers. Internships are in the following professional tracks:</w:t>
      </w:r>
    </w:p>
    <w:p w:rsidR="00FC7678" w:rsidRDefault="00FC7678" w:rsidP="00FC7678">
      <w:pPr>
        <w:tabs>
          <w:tab w:val="left" w:pos="2520"/>
          <w:tab w:val="left" w:pos="2790"/>
        </w:tabs>
        <w:spacing w:after="0"/>
        <w:ind w:left="2160"/>
        <w:rPr>
          <w:rFonts w:cstheme="minorHAnsi"/>
          <w:sz w:val="20"/>
        </w:rPr>
      </w:pPr>
    </w:p>
    <w:p w:rsidR="009A1329" w:rsidRDefault="009A1329" w:rsidP="00FC7678">
      <w:pPr>
        <w:tabs>
          <w:tab w:val="left" w:pos="2520"/>
          <w:tab w:val="left" w:pos="2790"/>
        </w:tabs>
        <w:spacing w:after="0"/>
        <w:ind w:left="2160"/>
        <w:rPr>
          <w:rFonts w:cstheme="minorHAnsi"/>
          <w:sz w:val="20"/>
        </w:rPr>
        <w:sectPr w:rsidR="009A1329" w:rsidSect="009A4DD9">
          <w:pgSz w:w="12240" w:h="15840"/>
          <w:pgMar w:top="720" w:right="720" w:bottom="720" w:left="720" w:header="720" w:footer="720" w:gutter="0"/>
          <w:cols w:space="720"/>
          <w:docGrid w:linePitch="360"/>
        </w:sectPr>
      </w:pPr>
    </w:p>
    <w:p w:rsidR="009A4DD9" w:rsidRPr="00E3395E" w:rsidRDefault="009A4DD9" w:rsidP="00FC7678">
      <w:pPr>
        <w:tabs>
          <w:tab w:val="left" w:pos="2520"/>
          <w:tab w:val="left" w:pos="2790"/>
        </w:tabs>
        <w:spacing w:after="0"/>
        <w:ind w:left="2160"/>
        <w:rPr>
          <w:rFonts w:cstheme="minorHAnsi"/>
          <w:b/>
          <w:color w:val="C00000"/>
          <w:sz w:val="20"/>
        </w:rPr>
      </w:pPr>
      <w:r w:rsidRPr="00E3395E">
        <w:rPr>
          <w:rFonts w:cstheme="minorHAnsi"/>
          <w:b/>
          <w:color w:val="C00000"/>
          <w:sz w:val="20"/>
        </w:rPr>
        <w:lastRenderedPageBreak/>
        <w:t>•</w:t>
      </w:r>
      <w:r w:rsidRPr="00E3395E">
        <w:rPr>
          <w:rFonts w:cstheme="minorHAnsi"/>
          <w:b/>
          <w:color w:val="C00000"/>
          <w:sz w:val="20"/>
        </w:rPr>
        <w:tab/>
        <w:t>Advocacy, Service &amp; Arts</w:t>
      </w:r>
    </w:p>
    <w:p w:rsidR="009A4DD9" w:rsidRPr="00E3395E" w:rsidRDefault="009A4DD9" w:rsidP="00FC7678">
      <w:pPr>
        <w:tabs>
          <w:tab w:val="left" w:pos="2520"/>
          <w:tab w:val="left" w:pos="2790"/>
        </w:tabs>
        <w:spacing w:after="0"/>
        <w:ind w:left="2160"/>
        <w:rPr>
          <w:rFonts w:cstheme="minorHAnsi"/>
          <w:b/>
          <w:color w:val="C00000"/>
          <w:sz w:val="20"/>
        </w:rPr>
      </w:pPr>
      <w:r w:rsidRPr="00E3395E">
        <w:rPr>
          <w:rFonts w:cstheme="minorHAnsi"/>
          <w:b/>
          <w:color w:val="C00000"/>
          <w:sz w:val="20"/>
        </w:rPr>
        <w:t>•</w:t>
      </w:r>
      <w:r w:rsidRPr="00E3395E">
        <w:rPr>
          <w:rFonts w:cstheme="minorHAnsi"/>
          <w:b/>
          <w:color w:val="C00000"/>
          <w:sz w:val="20"/>
        </w:rPr>
        <w:tab/>
        <w:t>Business and Global Trade</w:t>
      </w:r>
    </w:p>
    <w:p w:rsidR="009A4DD9" w:rsidRPr="00E3395E" w:rsidRDefault="009A4DD9" w:rsidP="00FC7678">
      <w:pPr>
        <w:tabs>
          <w:tab w:val="left" w:pos="2520"/>
          <w:tab w:val="left" w:pos="2790"/>
        </w:tabs>
        <w:spacing w:after="0"/>
        <w:ind w:left="2160"/>
        <w:rPr>
          <w:rFonts w:cstheme="minorHAnsi"/>
          <w:b/>
          <w:color w:val="C00000"/>
          <w:sz w:val="20"/>
        </w:rPr>
      </w:pPr>
      <w:r w:rsidRPr="00E3395E">
        <w:rPr>
          <w:rFonts w:cstheme="minorHAnsi"/>
          <w:b/>
          <w:color w:val="C00000"/>
          <w:sz w:val="20"/>
        </w:rPr>
        <w:t>•</w:t>
      </w:r>
      <w:r w:rsidRPr="00E3395E">
        <w:rPr>
          <w:rFonts w:cstheme="minorHAnsi"/>
          <w:b/>
          <w:color w:val="C00000"/>
          <w:sz w:val="20"/>
        </w:rPr>
        <w:tab/>
        <w:t>International Affairs</w:t>
      </w:r>
    </w:p>
    <w:p w:rsidR="009A4DD9" w:rsidRPr="00E3395E" w:rsidRDefault="009A4DD9" w:rsidP="00FC7678">
      <w:pPr>
        <w:tabs>
          <w:tab w:val="left" w:pos="2520"/>
          <w:tab w:val="left" w:pos="2790"/>
        </w:tabs>
        <w:spacing w:after="0"/>
        <w:ind w:left="2160"/>
        <w:rPr>
          <w:rFonts w:cstheme="minorHAnsi"/>
          <w:b/>
          <w:color w:val="C00000"/>
          <w:sz w:val="20"/>
        </w:rPr>
      </w:pPr>
      <w:r w:rsidRPr="00E3395E">
        <w:rPr>
          <w:rFonts w:cstheme="minorHAnsi"/>
          <w:b/>
          <w:color w:val="C00000"/>
          <w:sz w:val="20"/>
        </w:rPr>
        <w:t>•</w:t>
      </w:r>
      <w:r w:rsidRPr="00E3395E">
        <w:rPr>
          <w:rFonts w:cstheme="minorHAnsi"/>
          <w:b/>
          <w:color w:val="C00000"/>
          <w:sz w:val="20"/>
        </w:rPr>
        <w:tab/>
        <w:t>Law &amp; Criminal Justice</w:t>
      </w:r>
    </w:p>
    <w:p w:rsidR="009A4DD9" w:rsidRPr="00E3395E" w:rsidRDefault="009A4DD9" w:rsidP="00FC7678">
      <w:pPr>
        <w:tabs>
          <w:tab w:val="left" w:pos="2520"/>
          <w:tab w:val="left" w:pos="2790"/>
        </w:tabs>
        <w:spacing w:after="0"/>
        <w:ind w:left="630" w:hanging="180"/>
        <w:rPr>
          <w:rFonts w:cstheme="minorHAnsi"/>
          <w:b/>
          <w:color w:val="C00000"/>
          <w:sz w:val="20"/>
        </w:rPr>
      </w:pPr>
      <w:r w:rsidRPr="00E3395E">
        <w:rPr>
          <w:rFonts w:cstheme="minorHAnsi"/>
          <w:b/>
          <w:color w:val="C00000"/>
          <w:sz w:val="20"/>
        </w:rPr>
        <w:lastRenderedPageBreak/>
        <w:t>•</w:t>
      </w:r>
      <w:r w:rsidRPr="00E3395E">
        <w:rPr>
          <w:rFonts w:cstheme="minorHAnsi"/>
          <w:b/>
          <w:color w:val="C00000"/>
          <w:sz w:val="20"/>
        </w:rPr>
        <w:tab/>
        <w:t>Media &amp; Communications</w:t>
      </w:r>
    </w:p>
    <w:p w:rsidR="009A4DD9" w:rsidRPr="00E3395E" w:rsidRDefault="009A4DD9" w:rsidP="00FC7678">
      <w:pPr>
        <w:tabs>
          <w:tab w:val="left" w:pos="2520"/>
          <w:tab w:val="left" w:pos="2790"/>
        </w:tabs>
        <w:spacing w:after="0"/>
        <w:ind w:left="630" w:hanging="180"/>
        <w:rPr>
          <w:rFonts w:cstheme="minorHAnsi"/>
          <w:b/>
          <w:color w:val="C00000"/>
          <w:sz w:val="20"/>
        </w:rPr>
      </w:pPr>
      <w:r w:rsidRPr="00E3395E">
        <w:rPr>
          <w:rFonts w:cstheme="minorHAnsi"/>
          <w:b/>
          <w:color w:val="C00000"/>
          <w:sz w:val="20"/>
        </w:rPr>
        <w:t>•</w:t>
      </w:r>
      <w:r w:rsidRPr="00E3395E">
        <w:rPr>
          <w:rFonts w:cstheme="minorHAnsi"/>
          <w:b/>
          <w:color w:val="C00000"/>
          <w:sz w:val="20"/>
        </w:rPr>
        <w:tab/>
        <w:t>Politics &amp; Public Policy</w:t>
      </w:r>
    </w:p>
    <w:p w:rsidR="009A4DD9" w:rsidRPr="00E3395E" w:rsidRDefault="009A4DD9" w:rsidP="00FC7678">
      <w:pPr>
        <w:pStyle w:val="ListParagraph"/>
        <w:tabs>
          <w:tab w:val="left" w:pos="2520"/>
          <w:tab w:val="left" w:pos="2790"/>
        </w:tabs>
        <w:ind w:left="630" w:hanging="180"/>
        <w:rPr>
          <w:rFonts w:cstheme="minorHAnsi"/>
          <w:b/>
          <w:color w:val="C00000"/>
          <w:sz w:val="20"/>
        </w:rPr>
      </w:pPr>
      <w:r w:rsidRPr="00E3395E">
        <w:rPr>
          <w:rFonts w:cstheme="minorHAnsi"/>
          <w:b/>
          <w:color w:val="C00000"/>
          <w:sz w:val="20"/>
        </w:rPr>
        <w:t>•</w:t>
      </w:r>
      <w:r w:rsidRPr="00E3395E">
        <w:rPr>
          <w:rFonts w:cstheme="minorHAnsi"/>
          <w:b/>
          <w:color w:val="C00000"/>
          <w:sz w:val="20"/>
        </w:rPr>
        <w:tab/>
        <w:t>Science, Technology &amp; Society</w:t>
      </w:r>
      <w:r w:rsidR="007B3EFA" w:rsidRPr="00E3395E">
        <w:rPr>
          <w:rFonts w:cstheme="minorHAnsi"/>
          <w:b/>
          <w:color w:val="C00000"/>
          <w:sz w:val="16"/>
        </w:rPr>
        <w:t xml:space="preserve"> (summer only)</w:t>
      </w:r>
    </w:p>
    <w:p w:rsidR="00FC7678" w:rsidRDefault="00FC7678" w:rsidP="009A4DD9">
      <w:pPr>
        <w:pStyle w:val="ListParagraph"/>
        <w:tabs>
          <w:tab w:val="left" w:pos="2520"/>
          <w:tab w:val="left" w:pos="2790"/>
        </w:tabs>
        <w:ind w:left="2160"/>
        <w:rPr>
          <w:rFonts w:cstheme="minorHAnsi"/>
          <w:sz w:val="8"/>
        </w:rPr>
      </w:pPr>
    </w:p>
    <w:p w:rsidR="009A1329" w:rsidRDefault="009A1329" w:rsidP="009A4DD9">
      <w:pPr>
        <w:pStyle w:val="ListParagraph"/>
        <w:tabs>
          <w:tab w:val="left" w:pos="2520"/>
          <w:tab w:val="left" w:pos="2790"/>
        </w:tabs>
        <w:ind w:left="2160"/>
        <w:rPr>
          <w:rFonts w:cstheme="minorHAnsi"/>
          <w:sz w:val="8"/>
        </w:rPr>
      </w:pPr>
    </w:p>
    <w:p w:rsidR="009A1329" w:rsidRDefault="009A1329" w:rsidP="009A4DD9">
      <w:pPr>
        <w:pStyle w:val="ListParagraph"/>
        <w:tabs>
          <w:tab w:val="left" w:pos="2520"/>
          <w:tab w:val="left" w:pos="2790"/>
        </w:tabs>
        <w:ind w:left="2160"/>
        <w:rPr>
          <w:rFonts w:cstheme="minorHAnsi"/>
          <w:sz w:val="8"/>
        </w:rPr>
        <w:sectPr w:rsidR="009A1329" w:rsidSect="00FC7678">
          <w:type w:val="continuous"/>
          <w:pgSz w:w="12240" w:h="15840"/>
          <w:pgMar w:top="720" w:right="720" w:bottom="720" w:left="720" w:header="720" w:footer="720" w:gutter="0"/>
          <w:cols w:num="2" w:space="180"/>
          <w:docGrid w:linePitch="360"/>
        </w:sectPr>
      </w:pPr>
    </w:p>
    <w:p w:rsidR="009A1329" w:rsidRDefault="009A1329" w:rsidP="009A1329">
      <w:pPr>
        <w:pStyle w:val="ListParagraph"/>
        <w:ind w:left="540"/>
        <w:rPr>
          <w:rFonts w:cstheme="minorHAnsi"/>
        </w:rPr>
      </w:pPr>
      <w:bookmarkStart w:id="0" w:name="_GoBack"/>
      <w:bookmarkEnd w:id="0"/>
    </w:p>
    <w:p w:rsidR="000701E6" w:rsidRDefault="009A4DD9" w:rsidP="001C335A">
      <w:pPr>
        <w:pStyle w:val="ListParagraph"/>
        <w:numPr>
          <w:ilvl w:val="0"/>
          <w:numId w:val="6"/>
        </w:numPr>
        <w:ind w:left="540"/>
        <w:rPr>
          <w:rFonts w:cstheme="minorHAnsi"/>
        </w:rPr>
      </w:pPr>
      <w:r w:rsidRPr="009A4DD9">
        <w:rPr>
          <w:rFonts w:cstheme="minorHAnsi"/>
        </w:rPr>
        <w:t>Students</w:t>
      </w:r>
      <w:r w:rsidR="000701E6">
        <w:rPr>
          <w:rFonts w:cstheme="minorHAnsi"/>
        </w:rPr>
        <w:t>:</w:t>
      </w:r>
    </w:p>
    <w:p w:rsidR="007B3EFA" w:rsidRPr="001C335A" w:rsidRDefault="000701E6" w:rsidP="001C335A">
      <w:pPr>
        <w:pStyle w:val="ListParagraph"/>
        <w:numPr>
          <w:ilvl w:val="1"/>
          <w:numId w:val="6"/>
        </w:numPr>
        <w:ind w:left="810" w:hanging="270"/>
        <w:rPr>
          <w:rFonts w:cstheme="minorHAnsi"/>
          <w:sz w:val="20"/>
        </w:rPr>
      </w:pPr>
      <w:r w:rsidRPr="001C335A">
        <w:rPr>
          <w:rFonts w:cstheme="minorHAnsi"/>
          <w:sz w:val="20"/>
        </w:rPr>
        <w:t>I</w:t>
      </w:r>
      <w:r w:rsidR="009A4DD9" w:rsidRPr="001C335A">
        <w:rPr>
          <w:rFonts w:cstheme="minorHAnsi"/>
          <w:sz w:val="20"/>
        </w:rPr>
        <w:t xml:space="preserve">ntern Monday through Thursday, then attend special professional development </w:t>
      </w:r>
      <w:r w:rsidR="00936D36" w:rsidRPr="001C335A">
        <w:rPr>
          <w:rFonts w:cstheme="minorHAnsi"/>
          <w:sz w:val="20"/>
        </w:rPr>
        <w:t xml:space="preserve">programming </w:t>
      </w:r>
      <w:r w:rsidR="007B3EFA" w:rsidRPr="001C335A">
        <w:rPr>
          <w:rFonts w:cstheme="minorHAnsi"/>
          <w:sz w:val="20"/>
        </w:rPr>
        <w:t>on Fridays.</w:t>
      </w:r>
    </w:p>
    <w:p w:rsidR="007B3EFA" w:rsidRPr="001C335A" w:rsidRDefault="007B3EFA" w:rsidP="001C335A">
      <w:pPr>
        <w:pStyle w:val="ListParagraph"/>
        <w:numPr>
          <w:ilvl w:val="1"/>
          <w:numId w:val="6"/>
        </w:numPr>
        <w:ind w:left="810" w:hanging="270"/>
        <w:rPr>
          <w:rFonts w:cstheme="minorHAnsi"/>
          <w:sz w:val="20"/>
        </w:rPr>
      </w:pPr>
      <w:r w:rsidRPr="001C335A">
        <w:rPr>
          <w:sz w:val="20"/>
        </w:rPr>
        <w:t>Take an evening academic course, selecting from over 30 unique courses taught by university professors.</w:t>
      </w:r>
    </w:p>
    <w:p w:rsidR="00B6096D" w:rsidRPr="001C335A" w:rsidRDefault="00B6096D" w:rsidP="001C335A">
      <w:pPr>
        <w:pStyle w:val="ListParagraph"/>
        <w:numPr>
          <w:ilvl w:val="1"/>
          <w:numId w:val="6"/>
        </w:numPr>
        <w:ind w:left="810" w:hanging="270"/>
        <w:rPr>
          <w:rFonts w:cstheme="minorHAnsi"/>
          <w:sz w:val="20"/>
        </w:rPr>
      </w:pPr>
      <w:r w:rsidRPr="001C335A">
        <w:rPr>
          <w:rFonts w:cstheme="minorHAnsi"/>
          <w:sz w:val="20"/>
        </w:rPr>
        <w:t xml:space="preserve">Are guaranteed housing in TWC facilities (similar to a university: two bedroom, two bathroom </w:t>
      </w:r>
      <w:r w:rsidR="00F2259D" w:rsidRPr="001C335A">
        <w:rPr>
          <w:rFonts w:cstheme="minorHAnsi"/>
          <w:sz w:val="20"/>
        </w:rPr>
        <w:t xml:space="preserve">furnished </w:t>
      </w:r>
      <w:r w:rsidRPr="001C335A">
        <w:rPr>
          <w:rFonts w:cstheme="minorHAnsi"/>
          <w:sz w:val="20"/>
        </w:rPr>
        <w:t>apartments</w:t>
      </w:r>
      <w:r w:rsidR="00B10F24">
        <w:rPr>
          <w:rFonts w:cstheme="minorHAnsi"/>
          <w:sz w:val="20"/>
        </w:rPr>
        <w:t xml:space="preserve">         </w:t>
      </w:r>
      <w:r w:rsidRPr="001C335A">
        <w:rPr>
          <w:rFonts w:cstheme="minorHAnsi"/>
          <w:sz w:val="20"/>
        </w:rPr>
        <w:t xml:space="preserve"> with utilities, basic cable, and wireless internet).</w:t>
      </w:r>
    </w:p>
    <w:p w:rsidR="009A1329" w:rsidRPr="009A1329" w:rsidRDefault="00B6096D" w:rsidP="009A1329">
      <w:pPr>
        <w:pStyle w:val="ListParagraph"/>
        <w:numPr>
          <w:ilvl w:val="1"/>
          <w:numId w:val="6"/>
        </w:numPr>
        <w:ind w:left="810" w:hanging="270"/>
        <w:rPr>
          <w:rFonts w:cstheme="minorHAnsi"/>
          <w:sz w:val="16"/>
          <w:szCs w:val="16"/>
        </w:rPr>
      </w:pPr>
      <w:r w:rsidRPr="001C335A">
        <w:rPr>
          <w:rFonts w:cstheme="minorHAnsi"/>
          <w:sz w:val="20"/>
        </w:rPr>
        <w:t>Are provided an orientation day and numerous social and professional activities</w:t>
      </w:r>
      <w:r w:rsidR="00F2259D" w:rsidRPr="001C335A">
        <w:rPr>
          <w:rFonts w:cstheme="minorHAnsi"/>
          <w:sz w:val="20"/>
        </w:rPr>
        <w:t>.</w:t>
      </w:r>
    </w:p>
    <w:p w:rsidR="009A1329" w:rsidRDefault="009A1329" w:rsidP="009A1329">
      <w:pPr>
        <w:rPr>
          <w:rFonts w:cstheme="minorHAnsi"/>
          <w:sz w:val="16"/>
          <w:szCs w:val="16"/>
        </w:rPr>
      </w:pPr>
    </w:p>
    <w:p w:rsidR="009A1329" w:rsidRDefault="009A1329" w:rsidP="009A1329">
      <w:pPr>
        <w:rPr>
          <w:rFonts w:cstheme="minorHAnsi"/>
          <w:sz w:val="16"/>
          <w:szCs w:val="16"/>
        </w:rPr>
      </w:pPr>
    </w:p>
    <w:p w:rsidR="009A1329" w:rsidRPr="009A1329" w:rsidRDefault="009A1329" w:rsidP="009A1329">
      <w:pPr>
        <w:rPr>
          <w:rFonts w:cstheme="minorHAnsi"/>
          <w:sz w:val="16"/>
          <w:szCs w:val="16"/>
        </w:rPr>
      </w:pPr>
      <w:r>
        <w:rPr>
          <w:rFonts w:cstheme="minorHAnsi"/>
          <w:sz w:val="16"/>
          <w:szCs w:val="16"/>
        </w:rPr>
        <w:softHyphen/>
      </w:r>
      <w:r>
        <w:rPr>
          <w:rFonts w:cstheme="minorHAnsi"/>
          <w:sz w:val="16"/>
          <w:szCs w:val="16"/>
        </w:rPr>
        <w:softHyphen/>
      </w:r>
      <w:r>
        <w:rPr>
          <w:rFonts w:cstheme="minorHAnsi"/>
          <w:sz w:val="16"/>
          <w:szCs w:val="16"/>
        </w:rPr>
        <w:softHyphen/>
      </w:r>
      <w:r>
        <w:rPr>
          <w:rFonts w:cstheme="minorHAnsi"/>
          <w:sz w:val="16"/>
          <w:szCs w:val="16"/>
        </w:rPr>
        <w:softHyphen/>
      </w:r>
      <w:r>
        <w:rPr>
          <w:rFonts w:cstheme="minorHAnsi"/>
          <w:sz w:val="16"/>
          <w:szCs w:val="16"/>
        </w:rPr>
        <w:softHyphen/>
      </w:r>
      <w:r>
        <w:rPr>
          <w:rFonts w:cstheme="minorHAnsi"/>
          <w:sz w:val="16"/>
          <w:szCs w:val="16"/>
        </w:rPr>
        <w:softHyphen/>
      </w:r>
      <w:r>
        <w:rPr>
          <w:rFonts w:cstheme="minorHAnsi"/>
          <w:sz w:val="16"/>
          <w:szCs w:val="16"/>
        </w:rPr>
        <w:softHyphen/>
      </w:r>
      <w:r>
        <w:rPr>
          <w:rFonts w:cstheme="minorHAnsi"/>
          <w:sz w:val="16"/>
          <w:szCs w:val="16"/>
        </w:rPr>
        <w:softHyphen/>
      </w:r>
      <w:r>
        <w:rPr>
          <w:rFonts w:cstheme="minorHAnsi"/>
          <w:sz w:val="16"/>
          <w:szCs w:val="16"/>
        </w:rPr>
        <w:softHyphen/>
        <w:t>_______________________________________________________________________________________________________________________________________</w:t>
      </w:r>
    </w:p>
    <w:p w:rsidR="00FC7678" w:rsidRPr="009A1329" w:rsidRDefault="00FC7678" w:rsidP="009A1329">
      <w:pPr>
        <w:spacing w:after="0"/>
        <w:ind w:left="720"/>
        <w:jc w:val="center"/>
        <w:rPr>
          <w:rFonts w:asciiTheme="majorHAnsi" w:hAnsiTheme="majorHAnsi" w:cstheme="minorHAnsi"/>
          <w:i/>
          <w:szCs w:val="16"/>
        </w:rPr>
      </w:pPr>
      <w:r w:rsidRPr="009A1329">
        <w:rPr>
          <w:rFonts w:cstheme="minorHAnsi"/>
          <w:szCs w:val="16"/>
        </w:rPr>
        <w:t xml:space="preserve"> </w:t>
      </w:r>
      <w:r w:rsidRPr="009A1329">
        <w:rPr>
          <w:rFonts w:asciiTheme="majorHAnsi" w:hAnsiTheme="majorHAnsi" w:cstheme="minorHAnsi"/>
          <w:i/>
          <w:szCs w:val="16"/>
        </w:rPr>
        <w:t>Questions? Please contact:</w:t>
      </w:r>
    </w:p>
    <w:p w:rsidR="00FC7678" w:rsidRPr="009A1329" w:rsidRDefault="00FC7678" w:rsidP="009A1329">
      <w:pPr>
        <w:spacing w:after="0"/>
        <w:ind w:left="720"/>
        <w:rPr>
          <w:rFonts w:asciiTheme="majorHAnsi" w:hAnsiTheme="majorHAnsi" w:cstheme="minorHAnsi"/>
          <w:sz w:val="10"/>
        </w:rPr>
      </w:pPr>
    </w:p>
    <w:p w:rsidR="00FC7678" w:rsidRPr="009A1329" w:rsidRDefault="00FC7678" w:rsidP="009A1329">
      <w:pPr>
        <w:pStyle w:val="ListParagraph"/>
        <w:numPr>
          <w:ilvl w:val="2"/>
          <w:numId w:val="6"/>
        </w:numPr>
        <w:ind w:left="720"/>
        <w:rPr>
          <w:rFonts w:asciiTheme="majorHAnsi" w:hAnsiTheme="majorHAnsi" w:cstheme="minorHAnsi"/>
        </w:rPr>
      </w:pPr>
      <w:r w:rsidRPr="009A1329">
        <w:rPr>
          <w:rFonts w:asciiTheme="majorHAnsi" w:hAnsiTheme="majorHAnsi" w:cstheme="minorHAnsi"/>
        </w:rPr>
        <w:t>The Washington Center at info@twc.edu (Note:  FAQ section on website -  www.twc.edu)</w:t>
      </w:r>
    </w:p>
    <w:p w:rsidR="00FC7678" w:rsidRPr="009A1329" w:rsidRDefault="00FC7678" w:rsidP="009A1329">
      <w:pPr>
        <w:pStyle w:val="ListParagraph"/>
        <w:numPr>
          <w:ilvl w:val="2"/>
          <w:numId w:val="6"/>
        </w:numPr>
        <w:spacing w:after="0"/>
        <w:ind w:left="720"/>
        <w:rPr>
          <w:rFonts w:cstheme="minorHAnsi"/>
        </w:rPr>
      </w:pPr>
      <w:r w:rsidRPr="009A1329">
        <w:rPr>
          <w:rFonts w:asciiTheme="majorHAnsi" w:hAnsiTheme="majorHAnsi" w:cstheme="minorHAnsi"/>
        </w:rPr>
        <w:t>Kerri Gardi, Director, KU Career Development Center and TWC campus liaison (gardi@kutztown.edu)</w:t>
      </w:r>
    </w:p>
    <w:p w:rsidR="00FC7678" w:rsidRPr="009A1329" w:rsidRDefault="00FC7678" w:rsidP="009A1329">
      <w:pPr>
        <w:pStyle w:val="ListParagraph"/>
        <w:numPr>
          <w:ilvl w:val="2"/>
          <w:numId w:val="6"/>
        </w:numPr>
        <w:spacing w:after="0"/>
        <w:ind w:left="720"/>
        <w:rPr>
          <w:rFonts w:cstheme="minorHAnsi"/>
        </w:rPr>
      </w:pPr>
      <w:r w:rsidRPr="009A1329">
        <w:rPr>
          <w:rFonts w:asciiTheme="majorHAnsi" w:hAnsiTheme="majorHAnsi" w:cstheme="minorHAnsi"/>
        </w:rPr>
        <w:t xml:space="preserve">Wendy Pursell, Director, KU Student Accounts (pursell@kutztown.edu)                                                           </w:t>
      </w:r>
    </w:p>
    <w:sectPr w:rsidR="00FC7678" w:rsidRPr="009A1329" w:rsidSect="00FC76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5A" w:rsidRDefault="001C335A" w:rsidP="001C335A">
      <w:pPr>
        <w:spacing w:after="0" w:line="240" w:lineRule="auto"/>
      </w:pPr>
      <w:r>
        <w:separator/>
      </w:r>
    </w:p>
  </w:endnote>
  <w:endnote w:type="continuationSeparator" w:id="0">
    <w:p w:rsidR="001C335A" w:rsidRDefault="001C335A" w:rsidP="001C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5A" w:rsidRDefault="001C335A" w:rsidP="001C335A">
      <w:pPr>
        <w:spacing w:after="0" w:line="240" w:lineRule="auto"/>
      </w:pPr>
      <w:r>
        <w:separator/>
      </w:r>
    </w:p>
  </w:footnote>
  <w:footnote w:type="continuationSeparator" w:id="0">
    <w:p w:rsidR="001C335A" w:rsidRDefault="001C335A" w:rsidP="001C3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E7CE7"/>
    <w:multiLevelType w:val="hybridMultilevel"/>
    <w:tmpl w:val="D7348B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nsid w:val="0F392FA6"/>
    <w:multiLevelType w:val="hybridMultilevel"/>
    <w:tmpl w:val="BAFE1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A34F5C"/>
    <w:multiLevelType w:val="multilevel"/>
    <w:tmpl w:val="7CCE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4D1D72"/>
    <w:multiLevelType w:val="hybridMultilevel"/>
    <w:tmpl w:val="890885D2"/>
    <w:lvl w:ilvl="0" w:tplc="A7A05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136383"/>
    <w:multiLevelType w:val="hybridMultilevel"/>
    <w:tmpl w:val="BD7A7D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7A7350C"/>
    <w:multiLevelType w:val="hybridMultilevel"/>
    <w:tmpl w:val="9CE6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0C"/>
    <w:rsid w:val="000701E6"/>
    <w:rsid w:val="000C73A6"/>
    <w:rsid w:val="00103C66"/>
    <w:rsid w:val="00175FAB"/>
    <w:rsid w:val="001C335A"/>
    <w:rsid w:val="00235BB3"/>
    <w:rsid w:val="0025599F"/>
    <w:rsid w:val="00256E39"/>
    <w:rsid w:val="002D49C7"/>
    <w:rsid w:val="00412BD8"/>
    <w:rsid w:val="004372B9"/>
    <w:rsid w:val="005879F8"/>
    <w:rsid w:val="005E2470"/>
    <w:rsid w:val="006010A0"/>
    <w:rsid w:val="006A2A15"/>
    <w:rsid w:val="007B3EFA"/>
    <w:rsid w:val="007B5A53"/>
    <w:rsid w:val="008423AF"/>
    <w:rsid w:val="00895D88"/>
    <w:rsid w:val="00921C5C"/>
    <w:rsid w:val="00936D36"/>
    <w:rsid w:val="009570F5"/>
    <w:rsid w:val="00994A12"/>
    <w:rsid w:val="009A1329"/>
    <w:rsid w:val="009A4DD9"/>
    <w:rsid w:val="00A25DB7"/>
    <w:rsid w:val="00AB574F"/>
    <w:rsid w:val="00AD7DFC"/>
    <w:rsid w:val="00B10F24"/>
    <w:rsid w:val="00B31CB1"/>
    <w:rsid w:val="00B3310C"/>
    <w:rsid w:val="00B6096D"/>
    <w:rsid w:val="00C56BD0"/>
    <w:rsid w:val="00D12B03"/>
    <w:rsid w:val="00D20594"/>
    <w:rsid w:val="00D646A6"/>
    <w:rsid w:val="00DC0E45"/>
    <w:rsid w:val="00E3395E"/>
    <w:rsid w:val="00E35F1F"/>
    <w:rsid w:val="00F2259D"/>
    <w:rsid w:val="00F513E4"/>
    <w:rsid w:val="00FC7678"/>
    <w:rsid w:val="00FE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8D025E8-1BA0-4AE5-8737-A138912A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10C"/>
    <w:rPr>
      <w:rFonts w:ascii="Tahoma" w:hAnsi="Tahoma" w:cs="Tahoma"/>
      <w:sz w:val="16"/>
      <w:szCs w:val="16"/>
    </w:rPr>
  </w:style>
  <w:style w:type="paragraph" w:styleId="ListParagraph">
    <w:name w:val="List Paragraph"/>
    <w:basedOn w:val="Normal"/>
    <w:uiPriority w:val="34"/>
    <w:qFormat/>
    <w:rsid w:val="00994A12"/>
    <w:pPr>
      <w:ind w:left="720"/>
      <w:contextualSpacing/>
    </w:pPr>
  </w:style>
  <w:style w:type="character" w:styleId="Hyperlink">
    <w:name w:val="Hyperlink"/>
    <w:basedOn w:val="DefaultParagraphFont"/>
    <w:uiPriority w:val="99"/>
    <w:unhideWhenUsed/>
    <w:rsid w:val="005E2470"/>
    <w:rPr>
      <w:color w:val="0000FF" w:themeColor="hyperlink"/>
      <w:u w:val="single"/>
    </w:rPr>
  </w:style>
  <w:style w:type="paragraph" w:styleId="Header">
    <w:name w:val="header"/>
    <w:basedOn w:val="Normal"/>
    <w:link w:val="HeaderChar"/>
    <w:uiPriority w:val="99"/>
    <w:unhideWhenUsed/>
    <w:rsid w:val="001C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5A"/>
  </w:style>
  <w:style w:type="paragraph" w:styleId="Footer">
    <w:name w:val="footer"/>
    <w:basedOn w:val="Normal"/>
    <w:link w:val="FooterChar"/>
    <w:uiPriority w:val="99"/>
    <w:unhideWhenUsed/>
    <w:rsid w:val="001C3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310">
      <w:bodyDiv w:val="1"/>
      <w:marLeft w:val="0"/>
      <w:marRight w:val="0"/>
      <w:marTop w:val="0"/>
      <w:marBottom w:val="0"/>
      <w:divBdr>
        <w:top w:val="none" w:sz="0" w:space="0" w:color="auto"/>
        <w:left w:val="none" w:sz="0" w:space="0" w:color="auto"/>
        <w:bottom w:val="none" w:sz="0" w:space="0" w:color="auto"/>
        <w:right w:val="none" w:sz="0" w:space="0" w:color="auto"/>
      </w:divBdr>
    </w:div>
    <w:div w:id="293411039">
      <w:bodyDiv w:val="1"/>
      <w:marLeft w:val="0"/>
      <w:marRight w:val="0"/>
      <w:marTop w:val="0"/>
      <w:marBottom w:val="0"/>
      <w:divBdr>
        <w:top w:val="none" w:sz="0" w:space="0" w:color="auto"/>
        <w:left w:val="none" w:sz="0" w:space="0" w:color="auto"/>
        <w:bottom w:val="none" w:sz="0" w:space="0" w:color="auto"/>
        <w:right w:val="none" w:sz="0" w:space="0" w:color="auto"/>
      </w:divBdr>
    </w:div>
    <w:div w:id="643050508">
      <w:bodyDiv w:val="1"/>
      <w:marLeft w:val="0"/>
      <w:marRight w:val="0"/>
      <w:marTop w:val="0"/>
      <w:marBottom w:val="0"/>
      <w:divBdr>
        <w:top w:val="none" w:sz="0" w:space="0" w:color="auto"/>
        <w:left w:val="none" w:sz="0" w:space="0" w:color="auto"/>
        <w:bottom w:val="none" w:sz="0" w:space="0" w:color="auto"/>
        <w:right w:val="none" w:sz="0" w:space="0" w:color="auto"/>
      </w:divBdr>
    </w:div>
    <w:div w:id="671222357">
      <w:bodyDiv w:val="1"/>
      <w:marLeft w:val="0"/>
      <w:marRight w:val="0"/>
      <w:marTop w:val="0"/>
      <w:marBottom w:val="0"/>
      <w:divBdr>
        <w:top w:val="none" w:sz="0" w:space="0" w:color="auto"/>
        <w:left w:val="none" w:sz="0" w:space="0" w:color="auto"/>
        <w:bottom w:val="none" w:sz="0" w:space="0" w:color="auto"/>
        <w:right w:val="none" w:sz="0" w:space="0" w:color="auto"/>
      </w:divBdr>
    </w:div>
    <w:div w:id="1001738756">
      <w:bodyDiv w:val="1"/>
      <w:marLeft w:val="0"/>
      <w:marRight w:val="0"/>
      <w:marTop w:val="0"/>
      <w:marBottom w:val="0"/>
      <w:divBdr>
        <w:top w:val="none" w:sz="0" w:space="0" w:color="auto"/>
        <w:left w:val="none" w:sz="0" w:space="0" w:color="auto"/>
        <w:bottom w:val="none" w:sz="0" w:space="0" w:color="auto"/>
        <w:right w:val="none" w:sz="0" w:space="0" w:color="auto"/>
      </w:divBdr>
    </w:div>
    <w:div w:id="1971281680">
      <w:bodyDiv w:val="1"/>
      <w:marLeft w:val="0"/>
      <w:marRight w:val="0"/>
      <w:marTop w:val="0"/>
      <w:marBottom w:val="0"/>
      <w:divBdr>
        <w:top w:val="none" w:sz="0" w:space="0" w:color="auto"/>
        <w:left w:val="none" w:sz="0" w:space="0" w:color="auto"/>
        <w:bottom w:val="none" w:sz="0" w:space="0" w:color="auto"/>
        <w:right w:val="none" w:sz="0" w:space="0" w:color="auto"/>
      </w:divBdr>
    </w:div>
    <w:div w:id="1987315527">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single" w:sz="6" w:space="0" w:color="D2D2D2"/>
            <w:left w:val="single" w:sz="6" w:space="0" w:color="D2D2D2"/>
            <w:bottom w:val="single" w:sz="6" w:space="0" w:color="D2D2D2"/>
            <w:right w:val="single" w:sz="6" w:space="0" w:color="D2D2D2"/>
          </w:divBdr>
          <w:divsChild>
            <w:div w:id="97479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AD6A2-9EC1-4283-82D6-F0E4ACEB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Pursell Home</dc:creator>
  <cp:lastModifiedBy>Gardi, Kerri</cp:lastModifiedBy>
  <cp:revision>2</cp:revision>
  <cp:lastPrinted>2016-02-10T21:40:00Z</cp:lastPrinted>
  <dcterms:created xsi:type="dcterms:W3CDTF">2019-06-10T13:06:00Z</dcterms:created>
  <dcterms:modified xsi:type="dcterms:W3CDTF">2019-06-10T13:06:00Z</dcterms:modified>
</cp:coreProperties>
</file>